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火炬园C、D座12台电梯增加呼梯群控功能项目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(工程施工单位选取)询价公告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佛山火炬创新创业园有限公司就“火炬园C、D座12台电梯增加呼梯群控功能项目(工程施工单位选取)”</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1、本项目为火炬园C、D座12台电梯增加呼梯群控功能项目(工程施工单位选取)。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2、对火炬园C、D座12台有机房电梯设备的呼梯控制功能进行技改升级，根据 电梯的实际安装分布情况，通过技术改造，实现并联/群控功能。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1.本项目最高限价：8.4万元，项目报价为固定总价，根据工程报价清单进行报价。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2.本项目费用包括施工及验收等产生的费用。报价人需按采购方提供的“报价及承诺函”及“工程量清单”格式进行报价。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3.报价人应具备电梯安装、维修资质和特种设备（电梯类）生产许可证。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4.合同工期：自合同签订之日起，50个日历日内完成竣工验收。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5.付款方式：不设预付款，项目竣工验收合格，确定工程项目最终结算金额30天内，支付到最终结算总金额的97%；剩余3%为质保金，保质期满后，如无发生扣款，则在收到乙方请款申请的30天内一次性无息付清。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6.质量要求：符合国家、省或行业现行的工程建设质量验收标准及规范，须达到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验收标准，保证通过检测（检验）机构的年检（合格）。本项目安装及装修装饰工程质保期为一年，其他项目保修期参照生产厂家保修期限。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7.</w:t>
      </w:r>
      <w:r>
        <w:rPr>
          <w:rFonts w:hint="eastAsia" w:asciiTheme="minorEastAsia" w:hAnsiTheme="minorEastAsia" w:cstheme="minorEastAsia"/>
          <w:sz w:val="28"/>
          <w:szCs w:val="28"/>
          <w:lang w:val="en-US" w:eastAsia="zh-CN"/>
        </w:rPr>
        <w:t>报价时递交的资料应包含：公司营业执照、资质证书、安全生产许可证、报价及承诺函和报价清单。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1.盖章要求：公司营业执照、资质证书、安全生产许可证、报价及承诺函、工程报价清单等均需加盖公司章。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递交报价文件的时间：2021年7月8日17:30分前。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w:t>
      </w:r>
      <w:bookmarkStart w:id="0" w:name="_GoBack"/>
      <w:bookmarkEnd w:id="0"/>
      <w:r>
        <w:rPr>
          <w:rFonts w:hint="eastAsia" w:asciiTheme="minorEastAsia" w:hAnsiTheme="minorEastAsia" w:cstheme="minorEastAsia"/>
          <w:sz w:val="28"/>
          <w:szCs w:val="28"/>
          <w:lang w:val="en-US" w:eastAsia="zh-CN"/>
        </w:rPr>
        <w:t>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联系人：洪生、谢生：0757—82582347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2021年7月5日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p>
      <w:pPr>
        <w:ind w:firstLine="3373" w:firstLineChars="1200"/>
        <w:rPr>
          <w:rFonts w:hint="eastAsia" w:eastAsia="宋体"/>
          <w:b/>
          <w:bCs/>
          <w:sz w:val="28"/>
          <w:szCs w:val="28"/>
          <w:lang w:val="en-US" w:eastAsia="zh-CN"/>
        </w:rPr>
      </w:pPr>
      <w:r>
        <w:rPr>
          <w:rFonts w:hint="eastAsia"/>
          <w:b/>
          <w:bCs/>
          <w:sz w:val="28"/>
          <w:szCs w:val="28"/>
          <w:lang w:val="en-US" w:eastAsia="zh-CN"/>
        </w:rPr>
        <w:t>工 程 报 价 清 单</w:t>
      </w:r>
    </w:p>
    <w:p/>
    <w:tbl>
      <w:tblPr>
        <w:tblStyle w:val="2"/>
        <w:tblW w:w="8647" w:type="dxa"/>
        <w:tblInd w:w="108" w:type="dxa"/>
        <w:tblLayout w:type="fixed"/>
        <w:tblCellMar>
          <w:top w:w="0" w:type="dxa"/>
          <w:left w:w="108" w:type="dxa"/>
          <w:bottom w:w="0" w:type="dxa"/>
          <w:right w:w="108" w:type="dxa"/>
        </w:tblCellMar>
      </w:tblPr>
      <w:tblGrid>
        <w:gridCol w:w="709"/>
        <w:gridCol w:w="2126"/>
        <w:gridCol w:w="1134"/>
        <w:gridCol w:w="851"/>
        <w:gridCol w:w="850"/>
        <w:gridCol w:w="1276"/>
        <w:gridCol w:w="1701"/>
      </w:tblGrid>
      <w:tr>
        <w:tblPrEx>
          <w:tblCellMar>
            <w:top w:w="0" w:type="dxa"/>
            <w:left w:w="108" w:type="dxa"/>
            <w:bottom w:w="0" w:type="dxa"/>
            <w:right w:w="108" w:type="dxa"/>
          </w:tblCellMar>
        </w:tblPrEx>
        <w:trPr>
          <w:trHeight w:val="531" w:hRule="atLeast"/>
        </w:trPr>
        <w:tc>
          <w:tcPr>
            <w:tcW w:w="709" w:type="dxa"/>
            <w:tcBorders>
              <w:top w:val="single" w:color="auto" w:sz="8" w:space="0"/>
              <w:left w:val="single" w:color="auto" w:sz="8" w:space="0"/>
              <w:bottom w:val="single" w:color="auto" w:sz="8" w:space="0"/>
              <w:right w:val="single" w:color="auto" w:sz="8" w:space="0"/>
            </w:tcBorders>
            <w:shd w:val="clear" w:color="000000" w:fill="002060"/>
            <w:vAlign w:val="center"/>
          </w:tcPr>
          <w:p>
            <w:pPr>
              <w:widowControl/>
              <w:jc w:val="center"/>
              <w:rPr>
                <w:rFonts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序号</w:t>
            </w:r>
          </w:p>
        </w:tc>
        <w:tc>
          <w:tcPr>
            <w:tcW w:w="2126"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物料名称</w:t>
            </w:r>
            <w:r>
              <w:rPr>
                <w:rFonts w:ascii="Arial" w:hAnsi="Arial" w:eastAsia="黑体" w:cs="Arial"/>
                <w:color w:val="auto"/>
                <w:kern w:val="0"/>
                <w:sz w:val="18"/>
                <w:szCs w:val="18"/>
                <w:shd w:val="clear" w:color="auto" w:fill="auto"/>
              </w:rPr>
              <w:t>/</w:t>
            </w:r>
            <w:r>
              <w:rPr>
                <w:rFonts w:hint="eastAsia" w:ascii="黑体" w:hAnsi="黑体" w:eastAsia="黑体" w:cs="宋体"/>
                <w:color w:val="auto"/>
                <w:kern w:val="0"/>
                <w:sz w:val="18"/>
                <w:szCs w:val="18"/>
                <w:shd w:val="clear" w:color="auto" w:fill="auto"/>
              </w:rPr>
              <w:t>人工</w:t>
            </w:r>
          </w:p>
        </w:tc>
        <w:tc>
          <w:tcPr>
            <w:tcW w:w="1134"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单价（元）</w:t>
            </w:r>
          </w:p>
        </w:tc>
        <w:tc>
          <w:tcPr>
            <w:tcW w:w="851"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数量</w:t>
            </w:r>
          </w:p>
        </w:tc>
        <w:tc>
          <w:tcPr>
            <w:tcW w:w="850"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单位</w:t>
            </w:r>
          </w:p>
        </w:tc>
        <w:tc>
          <w:tcPr>
            <w:tcW w:w="1276"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总价（元）</w:t>
            </w:r>
          </w:p>
        </w:tc>
        <w:tc>
          <w:tcPr>
            <w:tcW w:w="1701" w:type="dxa"/>
            <w:tcBorders>
              <w:top w:val="single" w:color="auto" w:sz="8" w:space="0"/>
              <w:left w:val="nil"/>
              <w:bottom w:val="single" w:color="auto" w:sz="8" w:space="0"/>
              <w:right w:val="single" w:color="auto" w:sz="8" w:space="0"/>
            </w:tcBorders>
            <w:shd w:val="clear" w:color="000000" w:fill="002060"/>
            <w:vAlign w:val="center"/>
          </w:tcPr>
          <w:p>
            <w:pPr>
              <w:widowControl/>
              <w:jc w:val="center"/>
              <w:rPr>
                <w:rFonts w:hint="eastAsia" w:ascii="黑体" w:hAnsi="黑体" w:eastAsia="黑体" w:cs="宋体"/>
                <w:color w:val="auto"/>
                <w:kern w:val="0"/>
                <w:sz w:val="18"/>
                <w:szCs w:val="18"/>
                <w:shd w:val="clear" w:color="auto" w:fill="auto"/>
              </w:rPr>
            </w:pPr>
            <w:r>
              <w:rPr>
                <w:rFonts w:hint="eastAsia" w:ascii="黑体" w:hAnsi="黑体" w:eastAsia="黑体" w:cs="宋体"/>
                <w:color w:val="auto"/>
                <w:kern w:val="0"/>
                <w:sz w:val="18"/>
                <w:szCs w:val="18"/>
                <w:shd w:val="clear" w:color="auto" w:fill="auto"/>
              </w:rPr>
              <w:t>备注</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1</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sz w:val="18"/>
                <w:szCs w:val="18"/>
              </w:rPr>
              <w:t>C</w:t>
            </w:r>
            <w:r>
              <w:rPr>
                <w:rFonts w:ascii="黑体" w:hAnsi="黑体" w:eastAsia="黑体" w:cs="宋体"/>
                <w:color w:val="000000"/>
                <w:sz w:val="18"/>
                <w:szCs w:val="18"/>
              </w:rPr>
              <w:t>1</w:t>
            </w:r>
            <w:r>
              <w:rPr>
                <w:rFonts w:hint="eastAsia" w:ascii="黑体" w:hAnsi="黑体" w:eastAsia="黑体" w:cs="宋体"/>
                <w:color w:val="000000"/>
                <w:sz w:val="18"/>
                <w:szCs w:val="18"/>
              </w:rPr>
              <w:t>、C</w:t>
            </w:r>
            <w:r>
              <w:rPr>
                <w:rFonts w:ascii="黑体" w:hAnsi="黑体" w:eastAsia="黑体" w:cs="宋体"/>
                <w:color w:val="000000"/>
                <w:sz w:val="18"/>
                <w:szCs w:val="18"/>
              </w:rPr>
              <w:t>2</w:t>
            </w:r>
            <w:r>
              <w:rPr>
                <w:rFonts w:hint="eastAsia" w:ascii="黑体" w:hAnsi="黑体" w:eastAsia="黑体" w:cs="宋体"/>
                <w:color w:val="000000"/>
                <w:sz w:val="18"/>
                <w:szCs w:val="18"/>
              </w:rPr>
              <w:t>并联主板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C</w:t>
            </w:r>
            <w:r>
              <w:rPr>
                <w:rFonts w:ascii="黑体" w:hAnsi="黑体" w:eastAsia="黑体" w:cs="宋体"/>
                <w:color w:val="000000"/>
                <w:kern w:val="0"/>
                <w:sz w:val="18"/>
                <w:szCs w:val="18"/>
              </w:rPr>
              <w:t>3</w:t>
            </w:r>
            <w:r>
              <w:rPr>
                <w:rFonts w:hint="eastAsia" w:ascii="黑体" w:hAnsi="黑体" w:eastAsia="黑体" w:cs="宋体"/>
                <w:color w:val="000000"/>
                <w:kern w:val="0"/>
                <w:sz w:val="18"/>
                <w:szCs w:val="18"/>
              </w:rPr>
              <w:t>无负一层</w:t>
            </w:r>
          </w:p>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单控不变</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2</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sz w:val="18"/>
                <w:szCs w:val="18"/>
              </w:rPr>
              <w:t>C</w:t>
            </w:r>
            <w:r>
              <w:rPr>
                <w:rFonts w:ascii="黑体" w:hAnsi="黑体" w:eastAsia="黑体" w:cs="宋体"/>
                <w:color w:val="000000"/>
                <w:sz w:val="18"/>
                <w:szCs w:val="18"/>
              </w:rPr>
              <w:t>4</w:t>
            </w:r>
            <w:r>
              <w:rPr>
                <w:rFonts w:hint="eastAsia" w:ascii="黑体" w:hAnsi="黑体" w:eastAsia="黑体" w:cs="宋体"/>
                <w:color w:val="000000"/>
                <w:sz w:val="18"/>
                <w:szCs w:val="18"/>
              </w:rPr>
              <w:t>、C</w:t>
            </w:r>
            <w:r>
              <w:rPr>
                <w:rFonts w:ascii="黑体" w:hAnsi="黑体" w:eastAsia="黑体" w:cs="宋体"/>
                <w:color w:val="000000"/>
                <w:sz w:val="18"/>
                <w:szCs w:val="18"/>
              </w:rPr>
              <w:t>5</w:t>
            </w:r>
            <w:r>
              <w:rPr>
                <w:rFonts w:hint="eastAsia" w:ascii="黑体" w:hAnsi="黑体" w:eastAsia="黑体" w:cs="宋体"/>
                <w:color w:val="000000"/>
                <w:sz w:val="18"/>
                <w:szCs w:val="18"/>
              </w:rPr>
              <w:t>、C</w:t>
            </w:r>
            <w:r>
              <w:rPr>
                <w:rFonts w:ascii="黑体" w:hAnsi="黑体" w:eastAsia="黑体" w:cs="宋体"/>
                <w:color w:val="000000"/>
                <w:sz w:val="18"/>
                <w:szCs w:val="18"/>
              </w:rPr>
              <w:t>6</w:t>
            </w:r>
            <w:r>
              <w:rPr>
                <w:rFonts w:hint="eastAsia" w:ascii="黑体" w:hAnsi="黑体" w:eastAsia="黑体" w:cs="宋体"/>
                <w:color w:val="000000"/>
                <w:sz w:val="18"/>
                <w:szCs w:val="18"/>
              </w:rPr>
              <w:t>群控主板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3</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sz w:val="18"/>
                <w:szCs w:val="18"/>
              </w:rPr>
              <w:t>D1</w:t>
            </w:r>
            <w:r>
              <w:rPr>
                <w:rFonts w:hint="eastAsia" w:ascii="黑体" w:hAnsi="黑体" w:eastAsia="黑体" w:cs="宋体"/>
                <w:color w:val="000000"/>
                <w:sz w:val="18"/>
                <w:szCs w:val="18"/>
              </w:rPr>
              <w:t>、</w:t>
            </w:r>
            <w:r>
              <w:rPr>
                <w:rFonts w:ascii="黑体" w:hAnsi="黑体" w:eastAsia="黑体" w:cs="宋体"/>
                <w:color w:val="000000"/>
                <w:sz w:val="18"/>
                <w:szCs w:val="18"/>
              </w:rPr>
              <w:t>D2</w:t>
            </w:r>
            <w:r>
              <w:rPr>
                <w:rFonts w:hint="eastAsia" w:ascii="黑体" w:hAnsi="黑体" w:eastAsia="黑体" w:cs="宋体"/>
                <w:color w:val="000000"/>
                <w:sz w:val="18"/>
                <w:szCs w:val="18"/>
              </w:rPr>
              <w:t>、</w:t>
            </w:r>
            <w:r>
              <w:rPr>
                <w:rFonts w:ascii="黑体" w:hAnsi="黑体" w:eastAsia="黑体" w:cs="宋体"/>
                <w:color w:val="000000"/>
                <w:sz w:val="18"/>
                <w:szCs w:val="18"/>
              </w:rPr>
              <w:t>D3</w:t>
            </w:r>
            <w:r>
              <w:rPr>
                <w:rFonts w:hint="eastAsia" w:ascii="黑体" w:hAnsi="黑体" w:eastAsia="黑体" w:cs="宋体"/>
                <w:color w:val="000000"/>
                <w:sz w:val="18"/>
                <w:szCs w:val="18"/>
              </w:rPr>
              <w:t>群控主板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4</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sz w:val="18"/>
                <w:szCs w:val="18"/>
              </w:rPr>
              <w:t>D4</w:t>
            </w:r>
            <w:r>
              <w:rPr>
                <w:rFonts w:hint="eastAsia" w:ascii="黑体" w:hAnsi="黑体" w:eastAsia="黑体" w:cs="宋体"/>
                <w:color w:val="000000"/>
                <w:sz w:val="18"/>
                <w:szCs w:val="18"/>
              </w:rPr>
              <w:t>、</w:t>
            </w:r>
            <w:r>
              <w:rPr>
                <w:rFonts w:ascii="黑体" w:hAnsi="黑体" w:eastAsia="黑体" w:cs="宋体"/>
                <w:color w:val="000000"/>
                <w:sz w:val="18"/>
                <w:szCs w:val="18"/>
              </w:rPr>
              <w:t>D5</w:t>
            </w:r>
            <w:r>
              <w:rPr>
                <w:rFonts w:hint="eastAsia" w:ascii="黑体" w:hAnsi="黑体" w:eastAsia="黑体" w:cs="宋体"/>
                <w:color w:val="000000"/>
                <w:sz w:val="18"/>
                <w:szCs w:val="18"/>
              </w:rPr>
              <w:t>并联主板</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color w:val="000000"/>
                <w:kern w:val="0"/>
                <w:sz w:val="18"/>
                <w:szCs w:val="18"/>
              </w:rPr>
              <w:t>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块</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ascii="黑体" w:hAnsi="黑体" w:eastAsia="黑体" w:cs="宋体"/>
                <w:color w:val="000000"/>
                <w:kern w:val="0"/>
                <w:sz w:val="18"/>
                <w:szCs w:val="18"/>
              </w:rPr>
              <w:t>D6</w:t>
            </w:r>
            <w:r>
              <w:rPr>
                <w:rFonts w:hint="eastAsia" w:ascii="黑体" w:hAnsi="黑体" w:eastAsia="黑体" w:cs="宋体"/>
                <w:color w:val="000000"/>
                <w:kern w:val="0"/>
                <w:sz w:val="18"/>
                <w:szCs w:val="18"/>
              </w:rPr>
              <w:t>无负一层</w:t>
            </w:r>
          </w:p>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单控不变</w:t>
            </w:r>
          </w:p>
        </w:tc>
      </w:tr>
      <w:tr>
        <w:tblPrEx>
          <w:tblCellMar>
            <w:top w:w="0" w:type="dxa"/>
            <w:left w:w="108" w:type="dxa"/>
            <w:bottom w:w="0" w:type="dxa"/>
            <w:right w:w="108" w:type="dxa"/>
          </w:tblCellMar>
        </w:tblPrEx>
        <w:trPr>
          <w:trHeight w:val="531" w:hRule="atLeast"/>
        </w:trPr>
        <w:tc>
          <w:tcPr>
            <w:tcW w:w="7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kern w:val="0"/>
                <w:sz w:val="18"/>
                <w:szCs w:val="18"/>
              </w:rPr>
              <w:t>5</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安装调试费</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r>
              <w:rPr>
                <w:color w:val="000000"/>
                <w:kern w:val="0"/>
                <w:sz w:val="18"/>
                <w:szCs w:val="18"/>
              </w:rPr>
              <w:t>-</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台</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hint="eastAsia"/>
                <w:color w:val="000000"/>
                <w:kern w:val="0"/>
                <w:sz w:val="18"/>
                <w:szCs w:val="18"/>
              </w:rPr>
            </w:pPr>
            <w:r>
              <w:rPr>
                <w:rFonts w:hint="eastAsia"/>
                <w:color w:val="000000"/>
                <w:kern w:val="0"/>
                <w:sz w:val="18"/>
                <w:szCs w:val="18"/>
              </w:rPr>
              <w:t>-</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18"/>
                <w:szCs w:val="18"/>
              </w:rPr>
            </w:pPr>
          </w:p>
        </w:tc>
      </w:tr>
      <w:tr>
        <w:tblPrEx>
          <w:tblCellMar>
            <w:top w:w="0" w:type="dxa"/>
            <w:left w:w="108" w:type="dxa"/>
            <w:bottom w:w="0" w:type="dxa"/>
            <w:right w:w="108" w:type="dxa"/>
          </w:tblCellMar>
        </w:tblPrEx>
        <w:trPr>
          <w:trHeight w:val="531" w:hRule="atLeast"/>
        </w:trPr>
        <w:tc>
          <w:tcPr>
            <w:tcW w:w="8647"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黑体" w:hAnsi="黑体" w:eastAsia="黑体" w:cs="宋体"/>
                <w:color w:val="000000"/>
                <w:kern w:val="0"/>
                <w:sz w:val="18"/>
                <w:szCs w:val="18"/>
              </w:rPr>
            </w:pPr>
            <w:r>
              <w:rPr>
                <w:rFonts w:ascii="黑体" w:hAnsi="黑体" w:eastAsia="黑体" w:cs="宋体"/>
                <w:color w:val="000000"/>
                <w:kern w:val="0"/>
                <w:sz w:val="18"/>
                <w:szCs w:val="18"/>
              </w:rPr>
              <w:t xml:space="preserve">   </w:t>
            </w:r>
            <w:r>
              <w:rPr>
                <w:rFonts w:hint="eastAsia" w:ascii="黑体" w:hAnsi="黑体" w:eastAsia="黑体" w:cs="宋体"/>
                <w:color w:val="000000"/>
                <w:kern w:val="0"/>
                <w:sz w:val="18"/>
                <w:szCs w:val="18"/>
                <w:lang w:eastAsia="zh-CN"/>
              </w:rPr>
              <w:t>包干价</w:t>
            </w:r>
            <w:r>
              <w:rPr>
                <w:rFonts w:hint="eastAsia" w:ascii="黑体" w:hAnsi="黑体" w:eastAsia="黑体" w:cs="宋体"/>
                <w:color w:val="000000"/>
                <w:kern w:val="0"/>
                <w:sz w:val="18"/>
                <w:szCs w:val="18"/>
              </w:rPr>
              <w:t>总金额（含税）</w:t>
            </w:r>
            <w:r>
              <w:rPr>
                <w:rFonts w:hint="eastAsia" w:ascii="黑体" w:hAnsi="黑体" w:eastAsia="黑体" w:cs="宋体"/>
                <w:color w:val="000000"/>
                <w:kern w:val="0"/>
                <w:sz w:val="18"/>
                <w:szCs w:val="18"/>
                <w:lang w:eastAsia="zh-CN"/>
              </w:rPr>
              <w:t>：</w:t>
            </w:r>
            <w:r>
              <w:rPr>
                <w:rFonts w:hint="eastAsia" w:ascii="黑体" w:hAnsi="黑体" w:eastAsia="黑体" w:cs="宋体"/>
                <w:color w:val="000000"/>
                <w:kern w:val="0"/>
                <w:sz w:val="18"/>
                <w:szCs w:val="18"/>
              </w:rPr>
              <w:t>大写人民币</w:t>
            </w:r>
            <w:r>
              <w:rPr>
                <w:rFonts w:hint="eastAsia" w:ascii="黑体" w:hAnsi="黑体" w:eastAsia="黑体" w:cs="宋体"/>
                <w:color w:val="000000"/>
                <w:kern w:val="0"/>
                <w:sz w:val="18"/>
                <w:szCs w:val="18"/>
                <w:lang w:val="en-US" w:eastAsia="zh-CN"/>
              </w:rPr>
              <w:t xml:space="preserve">            </w:t>
            </w:r>
            <w:r>
              <w:rPr>
                <w:rFonts w:hint="eastAsia" w:ascii="黑体" w:hAnsi="黑体" w:eastAsia="黑体" w:cs="宋体"/>
                <w:color w:val="000000"/>
                <w:kern w:val="0"/>
                <w:sz w:val="18"/>
                <w:szCs w:val="18"/>
              </w:rPr>
              <w:t>：</w:t>
            </w:r>
            <w:r>
              <w:rPr>
                <w:rFonts w:hint="eastAsia" w:ascii="黑体" w:hAnsi="黑体" w:eastAsia="黑体" w:cs="宋体"/>
                <w:color w:val="000000"/>
                <w:kern w:val="0"/>
                <w:sz w:val="18"/>
                <w:szCs w:val="18"/>
                <w:lang w:eastAsia="zh-CN"/>
              </w:rPr>
              <w:t>￥</w:t>
            </w:r>
            <w:r>
              <w:rPr>
                <w:rFonts w:hint="eastAsia" w:ascii="黑体" w:hAnsi="黑体" w:eastAsia="黑体" w:cs="宋体"/>
                <w:color w:val="000000"/>
                <w:kern w:val="0"/>
                <w:sz w:val="18"/>
                <w:szCs w:val="18"/>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F40"/>
    <w:rsid w:val="05AF14A4"/>
    <w:rsid w:val="0B52023A"/>
    <w:rsid w:val="0E3E40F4"/>
    <w:rsid w:val="0E803E0F"/>
    <w:rsid w:val="101055DD"/>
    <w:rsid w:val="14613A86"/>
    <w:rsid w:val="14D20C80"/>
    <w:rsid w:val="17A52954"/>
    <w:rsid w:val="1A1E6441"/>
    <w:rsid w:val="1BD53B33"/>
    <w:rsid w:val="1C9C3D9B"/>
    <w:rsid w:val="1FA326D2"/>
    <w:rsid w:val="21334D32"/>
    <w:rsid w:val="263C2D63"/>
    <w:rsid w:val="298D1076"/>
    <w:rsid w:val="303740BE"/>
    <w:rsid w:val="343B62DE"/>
    <w:rsid w:val="3D8711E1"/>
    <w:rsid w:val="3F6E0806"/>
    <w:rsid w:val="429B6A14"/>
    <w:rsid w:val="43513FAB"/>
    <w:rsid w:val="449D0E2A"/>
    <w:rsid w:val="49BE48F4"/>
    <w:rsid w:val="56AD0962"/>
    <w:rsid w:val="67E424D6"/>
    <w:rsid w:val="6D18444C"/>
    <w:rsid w:val="6DCB013F"/>
    <w:rsid w:val="74526153"/>
    <w:rsid w:val="74BB4C27"/>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43</TotalTime>
  <ScaleCrop>false</ScaleCrop>
  <LinksUpToDate>false</LinksUpToDate>
  <CharactersWithSpaces>1511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2021-07-05T07:20:55Z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D0BAB1B1CA3A4A319B395329E3469A94</vt:lpwstr>
  </property>
</Properties>
</file>